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26426A" w:rsidRDefault="00CE1117" w:rsidP="0026426A">
            <w:pPr>
              <w:spacing w:line="240" w:lineRule="auto"/>
              <w:jc w:val="both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Przystępując do postępowania</w:t>
            </w:r>
            <w:r w:rsidRPr="002642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26426A" w:rsidRPr="002642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„</w:t>
            </w:r>
            <w:r w:rsidR="0026426A" w:rsidRPr="0026426A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Wycinka  i podcinka drzew wraz z </w:t>
            </w:r>
            <w:proofErr w:type="spellStart"/>
            <w:r w:rsidR="0026426A" w:rsidRPr="0026426A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nasadzeniami</w:t>
            </w:r>
            <w:proofErr w:type="spellEnd"/>
            <w:r w:rsidR="0026426A" w:rsidRPr="0026426A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kompensacyjnymi drzew </w:t>
            </w:r>
            <w:r w:rsidR="0026426A" w:rsidRPr="0026426A">
              <w:rPr>
                <w:rFonts w:cstheme="minorHAnsi"/>
                <w:b/>
                <w:sz w:val="20"/>
                <w:szCs w:val="20"/>
                <w:lang w:eastAsia="pl-PL"/>
              </w:rPr>
              <w:t xml:space="preserve">w pasie drogowym na sieci dróg powiatowych na terenie powiatu gryfińskiego z podziałem na </w:t>
            </w:r>
            <w:r w:rsidR="00DD16E9">
              <w:rPr>
                <w:rFonts w:cstheme="minorHAnsi"/>
                <w:b/>
                <w:sz w:val="20"/>
                <w:szCs w:val="20"/>
                <w:lang w:eastAsia="pl-PL"/>
              </w:rPr>
              <w:t>4</w:t>
            </w:r>
            <w:r w:rsidR="0026426A" w:rsidRPr="0026426A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zadania: </w:t>
            </w:r>
            <w:r w:rsidR="0026426A" w:rsidRPr="0026426A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zadanie I – gmin</w:t>
            </w:r>
            <w:r w:rsidR="00DD16E9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a</w:t>
            </w:r>
            <w:r w:rsidR="0026426A" w:rsidRPr="0026426A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Gryfino</w:t>
            </w:r>
            <w:r w:rsidR="00DD16E9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,</w:t>
            </w:r>
            <w:r w:rsidR="0026426A" w:rsidRPr="0026426A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zadanie II – gminy: Banie, Chojna i Trzcińsko Zdrój</w:t>
            </w:r>
            <w:r w:rsidR="00DD16E9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,</w:t>
            </w:r>
            <w:r w:rsidR="0026426A" w:rsidRPr="0026426A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zadanie III – gminy: Cedynia, Mieszkowice i Moryń</w:t>
            </w:r>
            <w:r w:rsidR="00DD16E9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, zadanie IV – gmina Gryfino (cięcia pielęgnacyjne)</w:t>
            </w:r>
            <w:r w:rsidR="0026426A" w:rsidRPr="0026426A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</w:t>
            </w:r>
            <w:r w:rsidR="00CD03A0">
              <w:rPr>
                <w:rFonts w:cstheme="minorHAnsi"/>
                <w:b/>
                <w:sz w:val="20"/>
                <w:szCs w:val="20"/>
              </w:rPr>
              <w:t xml:space="preserve">posiada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ubezpi</w:t>
            </w:r>
            <w:r w:rsidR="00CD03A0">
              <w:rPr>
                <w:rFonts w:cstheme="minorHAnsi"/>
                <w:b/>
                <w:sz w:val="20"/>
                <w:szCs w:val="20"/>
              </w:rPr>
              <w:t xml:space="preserve">eczenie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odpowiedzialności cywilnej w zakresie prowadzonej działalności gospodarczej związanej z przedmiotem zamówienia na kwotę min. </w:t>
            </w:r>
            <w:r w:rsidR="00CD03A0">
              <w:rPr>
                <w:rFonts w:cstheme="minorHAnsi"/>
                <w:b/>
                <w:sz w:val="20"/>
                <w:szCs w:val="20"/>
              </w:rPr>
              <w:t>5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D03A0" w:rsidRPr="003A3905" w:rsidRDefault="00CE1117" w:rsidP="00CD03A0">
            <w:pPr>
              <w:numPr>
                <w:ilvl w:val="2"/>
                <w:numId w:val="6"/>
              </w:numPr>
              <w:suppressAutoHyphens/>
              <w:spacing w:before="120" w:after="0" w:line="264" w:lineRule="auto"/>
              <w:ind w:left="768" w:hanging="284"/>
              <w:jc w:val="both"/>
              <w:rPr>
                <w:b/>
                <w:iCs/>
                <w:sz w:val="20"/>
                <w:szCs w:val="20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CD03A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CD03A0" w:rsidRPr="008C71D0">
              <w:rPr>
                <w:b/>
                <w:sz w:val="20"/>
                <w:lang w:eastAsia="pl-PL"/>
              </w:rPr>
              <w:t xml:space="preserve">co najmniej </w:t>
            </w:r>
            <w:r w:rsidR="0026426A">
              <w:rPr>
                <w:b/>
                <w:sz w:val="20"/>
                <w:lang w:eastAsia="pl-PL"/>
              </w:rPr>
              <w:t xml:space="preserve">jedno zadanie </w:t>
            </w:r>
            <w:bookmarkStart w:id="0" w:name="_Hlk502738835"/>
            <w:r w:rsidR="0026426A">
              <w:rPr>
                <w:b/>
                <w:sz w:val="20"/>
                <w:lang w:eastAsia="pl-PL"/>
              </w:rPr>
              <w:t xml:space="preserve">związane w wycinką lub podcinką drzew </w:t>
            </w:r>
            <w:r w:rsidR="0026426A">
              <w:rPr>
                <w:b/>
                <w:iCs/>
                <w:sz w:val="20"/>
                <w:szCs w:val="20"/>
              </w:rPr>
              <w:t>o wa</w:t>
            </w:r>
            <w:r w:rsidR="0026426A" w:rsidRPr="003A3905">
              <w:rPr>
                <w:b/>
                <w:iCs/>
                <w:sz w:val="20"/>
                <w:szCs w:val="20"/>
              </w:rPr>
              <w:t xml:space="preserve">rtości brutto co najmniej </w:t>
            </w:r>
            <w:r w:rsidR="0026426A">
              <w:rPr>
                <w:b/>
                <w:iCs/>
                <w:sz w:val="20"/>
                <w:szCs w:val="20"/>
              </w:rPr>
              <w:t>5</w:t>
            </w:r>
            <w:r w:rsidR="0026426A" w:rsidRPr="003A3905">
              <w:rPr>
                <w:b/>
                <w:iCs/>
                <w:sz w:val="20"/>
                <w:szCs w:val="20"/>
              </w:rPr>
              <w:t>0.000 z</w:t>
            </w:r>
            <w:bookmarkEnd w:id="0"/>
            <w:r w:rsidR="0026426A" w:rsidRPr="003A3905">
              <w:rPr>
                <w:b/>
                <w:iCs/>
                <w:sz w:val="20"/>
                <w:szCs w:val="20"/>
              </w:rPr>
              <w:t>ł</w:t>
            </w:r>
            <w:r w:rsidR="0026426A">
              <w:rPr>
                <w:b/>
                <w:sz w:val="20"/>
                <w:lang w:eastAsia="pl-PL"/>
              </w:rPr>
              <w:t xml:space="preserve"> </w:t>
            </w:r>
            <w:r w:rsidR="00CD03A0">
              <w:rPr>
                <w:b/>
                <w:sz w:val="20"/>
                <w:lang w:eastAsia="pl-PL"/>
              </w:rPr>
              <w:t>d</w:t>
            </w:r>
            <w:r w:rsidR="00CD03A0" w:rsidRPr="003A390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6426A" w:rsidRPr="00343C13" w:rsidRDefault="002C3648" w:rsidP="00CD03A0">
            <w:pPr>
              <w:pStyle w:val="Akapitzlist"/>
              <w:widowControl w:val="0"/>
              <w:numPr>
                <w:ilvl w:val="2"/>
                <w:numId w:val="6"/>
              </w:numPr>
              <w:tabs>
                <w:tab w:val="left" w:pos="0"/>
                <w:tab w:val="left" w:pos="459"/>
              </w:tabs>
              <w:autoSpaceDE w:val="0"/>
              <w:autoSpaceDN w:val="0"/>
              <w:adjustRightInd w:val="0"/>
              <w:spacing w:after="40" w:line="240" w:lineRule="auto"/>
              <w:ind w:left="768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D03A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CD03A0">
              <w:rPr>
                <w:rFonts w:cstheme="minorHAnsi"/>
                <w:b/>
                <w:sz w:val="20"/>
                <w:szCs w:val="20"/>
              </w:rPr>
              <w:t>Wykonawca spełni warunek jeżeli wykaże, że dy</w:t>
            </w:r>
            <w:r w:rsidR="00CD03A0">
              <w:rPr>
                <w:rFonts w:cstheme="minorHAnsi"/>
                <w:b/>
                <w:sz w:val="20"/>
                <w:szCs w:val="20"/>
              </w:rPr>
              <w:t>sponuje potencjałem technicznym</w:t>
            </w:r>
            <w:r w:rsidR="00343C13">
              <w:rPr>
                <w:rFonts w:cstheme="minorHAnsi"/>
                <w:b/>
                <w:sz w:val="20"/>
                <w:szCs w:val="20"/>
              </w:rPr>
              <w:t xml:space="preserve"> na każde zadanie oddzie</w:t>
            </w:r>
            <w:r w:rsidR="00343C13" w:rsidRPr="00343C13">
              <w:rPr>
                <w:rFonts w:cstheme="minorHAnsi"/>
                <w:b/>
                <w:sz w:val="20"/>
                <w:szCs w:val="20"/>
              </w:rPr>
              <w:t xml:space="preserve">lnie </w:t>
            </w:r>
            <w:r w:rsidR="00CD03A0" w:rsidRPr="00343C13">
              <w:rPr>
                <w:rFonts w:cstheme="minorHAnsi"/>
                <w:b/>
                <w:sz w:val="20"/>
                <w:szCs w:val="20"/>
              </w:rPr>
              <w:t>:</w:t>
            </w:r>
            <w:r w:rsidRPr="00343C1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26426A" w:rsidRPr="00343C13" w:rsidRDefault="0026426A" w:rsidP="0026426A">
            <w:pPr>
              <w:spacing w:after="0" w:line="160" w:lineRule="exact"/>
              <w:ind w:left="1559"/>
              <w:rPr>
                <w:rFonts w:cstheme="minorHAnsi"/>
                <w:b/>
                <w:sz w:val="20"/>
                <w:szCs w:val="20"/>
              </w:rPr>
            </w:pPr>
            <w:bookmarkStart w:id="1" w:name="_Hlk502738879"/>
            <w:r w:rsidRPr="00343C13">
              <w:rPr>
                <w:rFonts w:cstheme="minorHAnsi"/>
                <w:b/>
                <w:sz w:val="20"/>
                <w:szCs w:val="20"/>
              </w:rPr>
              <w:t>- dwoma piłami spalinowymi,</w:t>
            </w:r>
          </w:p>
          <w:p w:rsidR="0026426A" w:rsidRPr="00343C13" w:rsidRDefault="0026426A" w:rsidP="0026426A">
            <w:pPr>
              <w:spacing w:after="0" w:line="160" w:lineRule="exact"/>
              <w:ind w:left="1559"/>
              <w:rPr>
                <w:rFonts w:cstheme="minorHAnsi"/>
                <w:b/>
                <w:sz w:val="20"/>
                <w:szCs w:val="20"/>
              </w:rPr>
            </w:pPr>
            <w:r w:rsidRPr="00343C13">
              <w:rPr>
                <w:rFonts w:cstheme="minorHAnsi"/>
                <w:b/>
                <w:sz w:val="20"/>
                <w:szCs w:val="20"/>
              </w:rPr>
              <w:t>- jedną frezarką do pni,</w:t>
            </w:r>
          </w:p>
          <w:p w:rsidR="0026426A" w:rsidRPr="00343C13" w:rsidRDefault="0026426A" w:rsidP="0026426A">
            <w:pPr>
              <w:spacing w:after="0" w:line="160" w:lineRule="exact"/>
              <w:ind w:left="1559"/>
              <w:rPr>
                <w:rFonts w:cstheme="minorHAnsi"/>
                <w:b/>
                <w:sz w:val="20"/>
                <w:szCs w:val="20"/>
              </w:rPr>
            </w:pPr>
            <w:r w:rsidRPr="00343C13">
              <w:rPr>
                <w:rFonts w:cstheme="minorHAnsi"/>
                <w:b/>
                <w:sz w:val="20"/>
                <w:szCs w:val="20"/>
              </w:rPr>
              <w:t>- jednym podnośnikiem koszowym,</w:t>
            </w:r>
          </w:p>
          <w:p w:rsidR="0026426A" w:rsidRPr="00343C13" w:rsidRDefault="0026426A" w:rsidP="0026426A">
            <w:pPr>
              <w:tabs>
                <w:tab w:val="left" w:pos="567"/>
                <w:tab w:val="left" w:pos="1134"/>
              </w:tabs>
              <w:spacing w:after="0" w:line="160" w:lineRule="exact"/>
              <w:ind w:left="1559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43C13">
              <w:rPr>
                <w:rFonts w:cstheme="minorHAnsi"/>
                <w:b/>
                <w:sz w:val="20"/>
                <w:szCs w:val="20"/>
              </w:rPr>
              <w:t xml:space="preserve"> - jednym pojazdem przystosowanym do wywozu odpadów.</w:t>
            </w:r>
          </w:p>
          <w:bookmarkEnd w:id="1"/>
          <w:p w:rsidR="00CD03A0" w:rsidRDefault="00CD03A0" w:rsidP="0026426A">
            <w:pPr>
              <w:pStyle w:val="Akapitzlist"/>
              <w:widowControl w:val="0"/>
              <w:tabs>
                <w:tab w:val="left" w:pos="0"/>
                <w:tab w:val="left" w:pos="459"/>
              </w:tabs>
              <w:autoSpaceDE w:val="0"/>
              <w:autoSpaceDN w:val="0"/>
              <w:adjustRightInd w:val="0"/>
              <w:spacing w:after="40" w:line="240" w:lineRule="auto"/>
              <w:ind w:left="768"/>
              <w:jc w:val="both"/>
              <w:rPr>
                <w:b/>
                <w:sz w:val="20"/>
                <w:szCs w:val="20"/>
              </w:rPr>
            </w:pPr>
          </w:p>
          <w:p w:rsidR="002C3648" w:rsidRPr="002C3648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3648">
              <w:rPr>
                <w:rFonts w:cstheme="minorHAnsi"/>
                <w:b/>
                <w:sz w:val="20"/>
                <w:szCs w:val="20"/>
              </w:rPr>
              <w:t>(jeżeli Wykonawca nie jest właścicielem sprzętu, musi posiadać ważną umowę o najmie bądź zobowiązanie o dysponowaniu).</w:t>
            </w:r>
          </w:p>
          <w:p w:rsidR="002C3648" w:rsidRPr="00CE1117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  <w:bookmarkStart w:id="2" w:name="_GoBack"/>
            <w:bookmarkEnd w:id="2"/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E688706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204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80"/>
    <w:rsid w:val="0009281A"/>
    <w:rsid w:val="000C0960"/>
    <w:rsid w:val="00155CF3"/>
    <w:rsid w:val="001E2676"/>
    <w:rsid w:val="0026426A"/>
    <w:rsid w:val="002C3648"/>
    <w:rsid w:val="00315703"/>
    <w:rsid w:val="00343C13"/>
    <w:rsid w:val="00375322"/>
    <w:rsid w:val="00542317"/>
    <w:rsid w:val="00594080"/>
    <w:rsid w:val="005C6B6D"/>
    <w:rsid w:val="006B5700"/>
    <w:rsid w:val="00811947"/>
    <w:rsid w:val="00AA3B7D"/>
    <w:rsid w:val="00B40388"/>
    <w:rsid w:val="00BD2AF0"/>
    <w:rsid w:val="00CD03A0"/>
    <w:rsid w:val="00CE1117"/>
    <w:rsid w:val="00DD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C199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1259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9</cp:revision>
  <cp:lastPrinted>2017-02-01T13:04:00Z</cp:lastPrinted>
  <dcterms:created xsi:type="dcterms:W3CDTF">2017-02-21T11:23:00Z</dcterms:created>
  <dcterms:modified xsi:type="dcterms:W3CDTF">2019-01-15T07:49:00Z</dcterms:modified>
</cp:coreProperties>
</file>